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5350E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5350E9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8383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5350E9" w:rsidRPr="005350E9">
        <w:rPr>
          <w:sz w:val="27"/>
          <w:szCs w:val="27"/>
        </w:rPr>
        <w:t>О размещении мобильного бытового городка в границах земельных участков с кадастровыми номерами 47:07:1044001:73108, 47:07:1044001:73104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5350E9" w:rsidRPr="005350E9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6CE4" w:rsidRDefault="00BE6CE4" w:rsidP="003E7623">
      <w:r>
        <w:separator/>
      </w:r>
    </w:p>
  </w:endnote>
  <w:endnote w:type="continuationSeparator" w:id="0">
    <w:p w:rsidR="00BE6CE4" w:rsidRDefault="00BE6CE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6CE4" w:rsidRDefault="00BE6CE4" w:rsidP="003E7623">
      <w:r>
        <w:separator/>
      </w:r>
    </w:p>
  </w:footnote>
  <w:footnote w:type="continuationSeparator" w:id="0">
    <w:p w:rsidR="00BE6CE4" w:rsidRDefault="00BE6CE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350E9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6CE4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8261B-81EF-4C6A-BE28-5B70282C9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2025-10-27T08:34:00Z</dcterms:created>
  <dcterms:modified xsi:type="dcterms:W3CDTF">2025-10-27T08:34:00Z</dcterms:modified>
</cp:coreProperties>
</file>